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177" w:rsidRDefault="004E617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E6177" w:rsidRDefault="004E6177">
      <w:pPr>
        <w:pStyle w:val="ConsPlusNormal"/>
        <w:jc w:val="both"/>
        <w:outlineLvl w:val="0"/>
      </w:pPr>
    </w:p>
    <w:p w:rsidR="004E6177" w:rsidRDefault="004E6177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</w:t>
      </w:r>
      <w:proofErr w:type="gramStart"/>
      <w:r>
        <w:t xml:space="preserve">Руководствуясь положениями Федеральных стандартов бухгалтерского учета (ФСБУ) </w:t>
      </w:r>
      <w:hyperlink r:id="rId6" w:history="1">
        <w:r>
          <w:rPr>
            <w:color w:val="0000FF"/>
          </w:rPr>
          <w:t>"Основные средства"</w:t>
        </w:r>
      </w:hyperlink>
      <w:r>
        <w:t xml:space="preserve"> (утв. Приказом Минфина России от 31.12.2016 N 257н) и </w:t>
      </w:r>
      <w:hyperlink r:id="rId7" w:history="1">
        <w:r>
          <w:rPr>
            <w:color w:val="0000FF"/>
          </w:rPr>
          <w:t>"Обесценение активов"</w:t>
        </w:r>
      </w:hyperlink>
      <w:r>
        <w:t xml:space="preserve"> (Приказ Минфина России от 31.12.2016 N 259н), ФГБУ по результатам проведенной инвентаризации имущества по итогам 2017 г. приняло решение о выводе на забалансовые счета Рабочего плана счетов субъекта учета, утвержденного учетной политикой, объектов ОС, не приносящих субъекту учета экономических выгод</w:t>
      </w:r>
      <w:proofErr w:type="gramEnd"/>
      <w:r>
        <w:t xml:space="preserve">, не </w:t>
      </w:r>
      <w:proofErr w:type="gramStart"/>
      <w:r>
        <w:t>имеющих</w:t>
      </w:r>
      <w:proofErr w:type="gramEnd"/>
      <w:r>
        <w:t xml:space="preserve"> полезного потенциала.</w:t>
      </w:r>
    </w:p>
    <w:p w:rsidR="004E6177" w:rsidRDefault="004E6177">
      <w:pPr>
        <w:pStyle w:val="ConsPlusNormal"/>
        <w:spacing w:before="220"/>
        <w:ind w:firstLine="540"/>
        <w:jc w:val="both"/>
      </w:pPr>
      <w:r>
        <w:t>Включается ли в расчет среднегодовой стоимости имущество, ранее обесцененное и выведенное на забалансовые счета (в соответствии с ФСБУ), и облагается ли оно налогом на имущество организаций по соответствующей ставке?</w:t>
      </w:r>
    </w:p>
    <w:p w:rsidR="004E6177" w:rsidRDefault="004E6177">
      <w:pPr>
        <w:pStyle w:val="ConsPlusNormal"/>
        <w:jc w:val="both"/>
      </w:pPr>
    </w:p>
    <w:p w:rsidR="004E6177" w:rsidRDefault="004E6177">
      <w:pPr>
        <w:pStyle w:val="ConsPlusNormal"/>
        <w:ind w:firstLine="540"/>
        <w:jc w:val="both"/>
      </w:pPr>
      <w:r>
        <w:rPr>
          <w:b/>
        </w:rPr>
        <w:t>Ответ:</w:t>
      </w:r>
    </w:p>
    <w:p w:rsidR="004E6177" w:rsidRDefault="004E6177">
      <w:pPr>
        <w:pStyle w:val="ConsPlusTitle"/>
        <w:spacing w:before="220"/>
        <w:jc w:val="center"/>
      </w:pPr>
      <w:r>
        <w:t>МИНИСТЕРСТВО ФИНАНСОВ РОССИЙСКОЙ ФЕДЕРАЦИИ</w:t>
      </w:r>
    </w:p>
    <w:p w:rsidR="004E6177" w:rsidRDefault="004E6177">
      <w:pPr>
        <w:pStyle w:val="ConsPlusTitle"/>
        <w:jc w:val="center"/>
      </w:pPr>
    </w:p>
    <w:p w:rsidR="004E6177" w:rsidRDefault="004E6177">
      <w:pPr>
        <w:pStyle w:val="ConsPlusTitle"/>
        <w:jc w:val="center"/>
      </w:pPr>
      <w:r>
        <w:t>ПИСЬМО</w:t>
      </w:r>
    </w:p>
    <w:p w:rsidR="004E6177" w:rsidRDefault="004E6177">
      <w:pPr>
        <w:pStyle w:val="ConsPlusTitle"/>
        <w:jc w:val="center"/>
      </w:pPr>
      <w:r>
        <w:t>от 2 апреля 2018 г. N 03-05-05-01/21113</w:t>
      </w:r>
    </w:p>
    <w:p w:rsidR="004E6177" w:rsidRDefault="004E6177">
      <w:pPr>
        <w:pStyle w:val="ConsPlusNormal"/>
        <w:jc w:val="both"/>
      </w:pPr>
    </w:p>
    <w:p w:rsidR="004E6177" w:rsidRDefault="004E6177">
      <w:pPr>
        <w:pStyle w:val="ConsPlusNormal"/>
        <w:ind w:firstLine="540"/>
        <w:jc w:val="both"/>
      </w:pPr>
      <w:r>
        <w:t>Департамент налоговой и таможенной политики совместно с Департаментом бюджетной методологии и финансовой отчетности в государственном секторе рассмотрел письмо от 05.02.2018 о расчете налога на имущество организаций в отношении основных средств, выведенных учреждением на забалансовые счета, и сообщает следующее.</w:t>
      </w:r>
    </w:p>
    <w:p w:rsidR="004E6177" w:rsidRDefault="004E6177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со </w:t>
      </w:r>
      <w:hyperlink r:id="rId8" w:history="1">
        <w:r>
          <w:rPr>
            <w:color w:val="0000FF"/>
          </w:rPr>
          <w:t>статьей 374</w:t>
        </w:r>
      </w:hyperlink>
      <w:r>
        <w:t xml:space="preserve"> Налогового кодекса Российской Федерации (далее - Кодекс) объектами налогообложения для российских организаций признается движимое и недвижимое имущество (в том числе имущество, переданное во временное владение, в пользование, распоряжение, доверительное управление, внесенное в совместную деятельность или полученное по концессионному соглашению), учитываемое на балансе в качестве объектов основных средств в порядке, установленном для ведения бухгалтерского учета, если иное</w:t>
      </w:r>
      <w:proofErr w:type="gramEnd"/>
      <w:r>
        <w:t xml:space="preserve"> не предусмотрено </w:t>
      </w:r>
      <w:hyperlink r:id="rId9" w:history="1">
        <w:r>
          <w:rPr>
            <w:color w:val="0000FF"/>
          </w:rPr>
          <w:t>статьями 378</w:t>
        </w:r>
      </w:hyperlink>
      <w:r>
        <w:t xml:space="preserve">, </w:t>
      </w:r>
      <w:hyperlink r:id="rId10" w:history="1">
        <w:r>
          <w:rPr>
            <w:color w:val="0000FF"/>
          </w:rPr>
          <w:t>378.1</w:t>
        </w:r>
      </w:hyperlink>
      <w:r>
        <w:t xml:space="preserve"> и </w:t>
      </w:r>
      <w:hyperlink r:id="rId11" w:history="1">
        <w:r>
          <w:rPr>
            <w:color w:val="0000FF"/>
          </w:rPr>
          <w:t>378.2</w:t>
        </w:r>
      </w:hyperlink>
      <w:r>
        <w:t xml:space="preserve"> Кодекса.</w:t>
      </w:r>
    </w:p>
    <w:p w:rsidR="004E6177" w:rsidRDefault="004E6177">
      <w:pPr>
        <w:pStyle w:val="ConsPlusNormal"/>
        <w:spacing w:before="220"/>
        <w:ind w:firstLine="540"/>
        <w:jc w:val="both"/>
      </w:pPr>
      <w:proofErr w:type="gramStart"/>
      <w:r>
        <w:t xml:space="preserve">На основании </w:t>
      </w:r>
      <w:hyperlink r:id="rId12" w:history="1">
        <w:r>
          <w:rPr>
            <w:color w:val="0000FF"/>
          </w:rPr>
          <w:t>статьи 375</w:t>
        </w:r>
      </w:hyperlink>
      <w:r>
        <w:t xml:space="preserve"> Кодекса налоговая база по налогу на имущество организаций в отношении основных средств определяется как среднегодовая стоимость имущества, признаваемого объектом налогообложения и учитываемого по его остаточной стоимости, сформированной в соответствии с установленным порядком ведения бухгалтерского учета, утвержденным в учетной политике организации, если иное не установлено </w:t>
      </w:r>
      <w:hyperlink r:id="rId13" w:history="1">
        <w:r>
          <w:rPr>
            <w:color w:val="0000FF"/>
          </w:rPr>
          <w:t>пунктом 2 статьи 375</w:t>
        </w:r>
      </w:hyperlink>
      <w:r>
        <w:t xml:space="preserve"> Кодекса.</w:t>
      </w:r>
      <w:proofErr w:type="gramEnd"/>
    </w:p>
    <w:p w:rsidR="004E6177" w:rsidRDefault="004E6177">
      <w:pPr>
        <w:pStyle w:val="ConsPlusNormal"/>
        <w:spacing w:before="220"/>
        <w:ind w:firstLine="540"/>
        <w:jc w:val="both"/>
      </w:pPr>
      <w:proofErr w:type="gramStart"/>
      <w:r>
        <w:t xml:space="preserve">Единые требования к бухгалтерскому учету активов, классифицируемых для целей бухгалтерского учета как основные средства, а также требования к информации об основных средствах (результатах операций с ними), раскрываемой в бухгалтерской (финансовой) отчетности, установлены федеральным </w:t>
      </w:r>
      <w:hyperlink r:id="rId14" w:history="1">
        <w:r>
          <w:rPr>
            <w:color w:val="0000FF"/>
          </w:rPr>
          <w:t>стандартом</w:t>
        </w:r>
      </w:hyperlink>
      <w:r>
        <w:t xml:space="preserve"> бухгалтерского учета для организаций государственного сектора "Основные средства", утвержденным приказом Министерства финансов Российской Федерации от 31.12.2016 N 257н (далее - СГС "Основные средства").</w:t>
      </w:r>
      <w:proofErr w:type="gramEnd"/>
    </w:p>
    <w:p w:rsidR="004E6177" w:rsidRDefault="004E6177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СГС</w:t>
        </w:r>
      </w:hyperlink>
      <w:r>
        <w:t xml:space="preserve"> "Основные средства" применяется при ведении бюджетного учета, бухгалтерского учета государственных (муниципальных) бюджетных и автономных учреждений с 1 января 2018 года, составлении бюджетной отчетности, бухгалтерской (</w:t>
      </w:r>
      <w:proofErr w:type="gramStart"/>
      <w:r>
        <w:t>финансовой</w:t>
      </w:r>
      <w:proofErr w:type="gramEnd"/>
      <w:r>
        <w:t>) отчетности государственных (муниципальных) бюджетных и автономных учреждений начиная с отчетности 2018 года.</w:t>
      </w:r>
    </w:p>
    <w:p w:rsidR="004E6177" w:rsidRDefault="004E6177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16" w:history="1">
        <w:r>
          <w:rPr>
            <w:color w:val="0000FF"/>
          </w:rPr>
          <w:t>пунктом 8</w:t>
        </w:r>
      </w:hyperlink>
      <w:r>
        <w:t xml:space="preserve"> СГС "Основные средства" материальная ценность подлежит признанию в бухгалтерском учете в составе основных средств (далее - объект основных средств) </w:t>
      </w:r>
      <w:r>
        <w:lastRenderedPageBreak/>
        <w:t>при условии, что субъектом учета прогнозируется получение от ее использования экономических выгод или полезного потенциала и первоначальную стоимость материальной ценности как объекта бухгалтерского учета можно надежно оценить (далее - критерии признания объекта основных средств).</w:t>
      </w:r>
      <w:proofErr w:type="gramEnd"/>
    </w:p>
    <w:p w:rsidR="004E6177" w:rsidRDefault="004E6177">
      <w:pPr>
        <w:pStyle w:val="ConsPlusNormal"/>
        <w:spacing w:before="220"/>
        <w:ind w:firstLine="540"/>
        <w:jc w:val="both"/>
      </w:pPr>
      <w:r>
        <w:t xml:space="preserve">Таким образом, материальные ценности, которые не соответствуют критериям активов, не </w:t>
      </w:r>
      <w:proofErr w:type="gramStart"/>
      <w:r>
        <w:t>признаются объектами основных средств и до принятия решения об их списании подлежат</w:t>
      </w:r>
      <w:proofErr w:type="gramEnd"/>
      <w:r>
        <w:t xml:space="preserve"> отражению на забалансовом </w:t>
      </w:r>
      <w:hyperlink r:id="rId17" w:history="1">
        <w:r>
          <w:rPr>
            <w:color w:val="0000FF"/>
          </w:rPr>
          <w:t>счете 02</w:t>
        </w:r>
      </w:hyperlink>
      <w:r>
        <w:t xml:space="preserve"> "Материальные ценности, принятые на хранение".</w:t>
      </w:r>
    </w:p>
    <w:p w:rsidR="004E6177" w:rsidRDefault="004E6177">
      <w:pPr>
        <w:pStyle w:val="ConsPlusNormal"/>
        <w:spacing w:before="220"/>
        <w:ind w:firstLine="540"/>
        <w:jc w:val="both"/>
      </w:pPr>
      <w:r>
        <w:t xml:space="preserve">Учитывая </w:t>
      </w:r>
      <w:proofErr w:type="gramStart"/>
      <w:r>
        <w:t>изложенное</w:t>
      </w:r>
      <w:proofErr w:type="gramEnd"/>
      <w:r>
        <w:t>, с 1 января 2018 года такие объекты не включаются в расчет среднегодовой стоимости имущества для целей налогообложения.</w:t>
      </w:r>
    </w:p>
    <w:p w:rsidR="004E6177" w:rsidRDefault="004E6177">
      <w:pPr>
        <w:pStyle w:val="ConsPlusNormal"/>
        <w:jc w:val="both"/>
      </w:pPr>
    </w:p>
    <w:p w:rsidR="004E6177" w:rsidRDefault="004E6177">
      <w:pPr>
        <w:pStyle w:val="ConsPlusNormal"/>
        <w:jc w:val="right"/>
      </w:pPr>
      <w:r>
        <w:t>Заместитель директора Департамента</w:t>
      </w:r>
    </w:p>
    <w:p w:rsidR="004E6177" w:rsidRDefault="004E6177">
      <w:pPr>
        <w:pStyle w:val="ConsPlusNormal"/>
        <w:jc w:val="right"/>
      </w:pPr>
      <w:r>
        <w:t>В.В.САШИЧЕВ</w:t>
      </w:r>
    </w:p>
    <w:p w:rsidR="004E6177" w:rsidRDefault="004E6177">
      <w:pPr>
        <w:pStyle w:val="ConsPlusNormal"/>
      </w:pPr>
      <w:r>
        <w:t>02.04.2018</w:t>
      </w:r>
    </w:p>
    <w:p w:rsidR="004E6177" w:rsidRDefault="004E6177">
      <w:pPr>
        <w:pStyle w:val="ConsPlusNormal"/>
        <w:jc w:val="both"/>
      </w:pPr>
    </w:p>
    <w:p w:rsidR="004E6177" w:rsidRDefault="004E6177">
      <w:pPr>
        <w:pStyle w:val="ConsPlusNormal"/>
        <w:jc w:val="both"/>
      </w:pPr>
    </w:p>
    <w:p w:rsidR="004E6177" w:rsidRDefault="004E61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774E9" w:rsidRDefault="00C774E9">
      <w:bookmarkStart w:id="0" w:name="_GoBack"/>
      <w:bookmarkEnd w:id="0"/>
    </w:p>
    <w:sectPr w:rsidR="00C774E9" w:rsidSect="00995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177"/>
    <w:rsid w:val="004E6177"/>
    <w:rsid w:val="00C774E9"/>
    <w:rsid w:val="00E2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6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6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61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6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6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61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B88D758858F0B5B1553693DF3F454A3090093C151E454225A2961CC04A8B39997FB48E6DF6A361CC0F6B0556C2D0239E2FE74C188B02z4Q" TargetMode="External"/><Relationship Id="rId13" Type="http://schemas.openxmlformats.org/officeDocument/2006/relationships/hyperlink" Target="consultantplus://offline/ref=30B88D758858F0B5B1553693DF3F454A3090093C151E454225A2961CC04A8B39997FB48E6BF9A361CC0F6B0556C2D0239E2FE74C188B02z4Q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B88D758858F0B5B1553693DF3F454A30990B3E141B454225A2961CC04A8B39997FB4866AF0A36B99557B011F96D83C9A30F84F06882C4B0Bz7Q" TargetMode="External"/><Relationship Id="rId12" Type="http://schemas.openxmlformats.org/officeDocument/2006/relationships/hyperlink" Target="consultantplus://offline/ref=30B88D758858F0B5B1553693DF3F454A3090093C151E454225A2961CC04A8B39997FB48E6BF8AB61CC0F6B0556C2D0239E2FE74C188B02z4Q" TargetMode="External"/><Relationship Id="rId17" Type="http://schemas.openxmlformats.org/officeDocument/2006/relationships/hyperlink" Target="consultantplus://offline/ref=30B88D758858F0B5B1553693DF3F454A30900D381E13454225A2961CC04A8B39997FB4866AF1AB6B91557B011F96D83C9A30F84F06882C4B0Bz7Q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0B88D758858F0B5B1553693DF3F454A30990B3E1712454225A2961CC04A8B39997FB4866AF0A36C9F557B011F96D83C9A30F84F06882C4B0Bz7Q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0B88D758858F0B5B1553693DF3F454A30990B3E1712454225A2961CC04A8B39997FB4866AF0A36B99557B011F96D83C9A30F84F06882C4B0Bz7Q" TargetMode="External"/><Relationship Id="rId11" Type="http://schemas.openxmlformats.org/officeDocument/2006/relationships/hyperlink" Target="consultantplus://offline/ref=30B88D758858F0B5B1553693DF3F454A3090093C151E454225A2961CC04A8B39997FB48E68F0A361CC0F6B0556C2D0239E2FE74C188B02z4Q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30B88D758858F0B5B1553693DF3F454A30990B3E1712454225A2961CC04A8B39997FB4866AF0A36B99557B011F96D83C9A30F84F06882C4B0Bz7Q" TargetMode="External"/><Relationship Id="rId10" Type="http://schemas.openxmlformats.org/officeDocument/2006/relationships/hyperlink" Target="consultantplus://offline/ref=30B88D758858F0B5B1553693DF3F454A3090093C151E454225A2961CC04A8B39997FB48368F1AA61CC0F6B0556C2D0239E2FE74C188B02z4Q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B88D758858F0B5B1553693DF3F454A3090093C151E454225A2961CC04A8B39997FB48569F1A83EC91A7A5D5AC6CB3C9E30FB4E1908z2Q" TargetMode="External"/><Relationship Id="rId14" Type="http://schemas.openxmlformats.org/officeDocument/2006/relationships/hyperlink" Target="consultantplus://offline/ref=30B88D758858F0B5B1553693DF3F454A30990B3E1712454225A2961CC04A8B39997FB4866AF0A36B9C557B011F96D83C9A30F84F06882C4B0Bz7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СЕЛЕЗНЕВА ГАЛИНА АНАТОЛЬЕВНА</dc:creator>
  <cp:lastModifiedBy>СЕЛЕЗНЕВА ГАЛИНА АНАТОЛЬЕВНА</cp:lastModifiedBy>
  <cp:revision>1</cp:revision>
  <dcterms:created xsi:type="dcterms:W3CDTF">2018-11-15T16:51:00Z</dcterms:created>
  <dcterms:modified xsi:type="dcterms:W3CDTF">2018-11-15T16:52:00Z</dcterms:modified>
</cp:coreProperties>
</file>